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D0" w:rsidRPr="00840874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bookmarkStart w:id="0" w:name="_GoBack"/>
      <w:bookmarkEnd w:id="0"/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840874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840874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:rsidR="00D053D0" w:rsidRPr="00840874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840874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:rsidR="0057480B" w:rsidRPr="00840874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:rsidR="00D053D0" w:rsidRPr="00840874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840874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840874">
        <w:rPr>
          <w:rFonts w:ascii="Sylfaen" w:hAnsi="Sylfaen"/>
          <w:noProof/>
          <w:sz w:val="22"/>
          <w:szCs w:val="22"/>
          <w:lang w:val="pt-BR"/>
        </w:rPr>
        <w:t>1</w:t>
      </w:r>
      <w:r w:rsidR="00082013">
        <w:rPr>
          <w:rFonts w:ascii="Sylfaen" w:hAnsi="Sylfaen"/>
          <w:noProof/>
          <w:sz w:val="22"/>
          <w:szCs w:val="22"/>
          <w:lang w:val="en-US"/>
        </w:rPr>
        <w:t>9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82013">
        <w:rPr>
          <w:rFonts w:ascii="Sylfaen" w:hAnsi="Sylfaen" w:cs="Sylfaen"/>
          <w:noProof/>
          <w:sz w:val="22"/>
          <w:szCs w:val="22"/>
          <w:lang w:val="en-US"/>
        </w:rPr>
        <w:t xml:space="preserve">3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840874" w:rsidRPr="00840874">
        <w:rPr>
          <w:rFonts w:ascii="Sylfaen" w:hAnsi="Sylfaen" w:cs="Sylfaen"/>
          <w:noProof/>
          <w:sz w:val="22"/>
          <w:szCs w:val="22"/>
          <w:lang w:val="en-US"/>
        </w:rPr>
        <w:t>5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9135F5"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470</w:t>
      </w:r>
      <w:r w:rsidR="009135F5"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0</w:t>
      </w:r>
      <w:r w:rsidR="00210D8A" w:rsidRPr="00840874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C40FFD" w:rsidRPr="002204A0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57480B" w:rsidRPr="002204A0" w:rsidRDefault="0057480B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:rsidR="00D053D0" w:rsidRPr="00840874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840874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840874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:rsidR="00D053D0" w:rsidRPr="00840874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053D0" w:rsidRPr="00840874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82013">
        <w:rPr>
          <w:rFonts w:ascii="Sylfaen" w:hAnsi="Sylfaen"/>
          <w:noProof/>
          <w:sz w:val="22"/>
          <w:szCs w:val="22"/>
          <w:lang w:val="ka-GE"/>
        </w:rPr>
        <w:t>66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082013">
        <w:rPr>
          <w:rFonts w:ascii="Sylfaen" w:hAnsi="Sylfaen"/>
          <w:noProof/>
          <w:sz w:val="22"/>
          <w:szCs w:val="22"/>
          <w:lang w:val="ka-GE"/>
        </w:rPr>
        <w:t>059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082013">
        <w:rPr>
          <w:rFonts w:ascii="Sylfaen" w:hAnsi="Sylfaen"/>
          <w:noProof/>
          <w:sz w:val="22"/>
          <w:szCs w:val="22"/>
          <w:lang w:val="ka-GE"/>
        </w:rPr>
        <w:t>0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E758A3" w:rsidRPr="00840874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82013">
        <w:rPr>
          <w:rFonts w:ascii="Sylfaen" w:hAnsi="Sylfaen"/>
          <w:noProof/>
          <w:sz w:val="22"/>
          <w:szCs w:val="22"/>
          <w:lang w:val="ka-GE"/>
        </w:rPr>
        <w:t>72</w:t>
      </w:r>
      <w:r w:rsidR="00D96BD7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082013">
        <w:rPr>
          <w:rFonts w:ascii="Sylfaen" w:hAnsi="Sylfaen"/>
          <w:noProof/>
          <w:sz w:val="22"/>
          <w:szCs w:val="22"/>
          <w:lang w:val="ka-GE"/>
        </w:rPr>
        <w:t>479</w:t>
      </w:r>
      <w:r w:rsidR="00D96BD7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082013">
        <w:rPr>
          <w:rFonts w:ascii="Sylfaen" w:hAnsi="Sylfaen"/>
          <w:noProof/>
          <w:sz w:val="22"/>
          <w:szCs w:val="22"/>
          <w:lang w:val="ka-GE"/>
        </w:rPr>
        <w:t>4</w:t>
      </w:r>
      <w:r w:rsidR="00D960BE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650712" w:rsidRPr="00840874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D960BE" w:rsidRPr="00840874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082013" w:rsidRPr="00082013" w:rsidTr="002D15EC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დაზუსტებული</w:t>
            </w: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ფაქტიური</w:t>
            </w: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 xml:space="preserve">შესრულება </w:t>
            </w:r>
          </w:p>
        </w:tc>
      </w:tr>
      <w:tr w:rsidR="00082013" w:rsidRPr="00082013" w:rsidTr="002D15EC">
        <w:trPr>
          <w:trHeight w:val="288"/>
        </w:trPr>
        <w:tc>
          <w:tcPr>
            <w:tcW w:w="2829" w:type="pct"/>
            <w:vMerge/>
            <w:vAlign w:val="center"/>
            <w:hideMark/>
          </w:tcPr>
          <w:p w:rsidR="00082013" w:rsidRPr="00082013" w:rsidRDefault="00082013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45,538.0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72,479.4</w:t>
            </w:r>
          </w:p>
        </w:tc>
      </w:tr>
      <w:tr w:rsidR="00082013" w:rsidRPr="00082013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28,526.1</w:t>
            </w:r>
          </w:p>
        </w:tc>
      </w:tr>
      <w:tr w:rsidR="00082013" w:rsidRPr="00082013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45,538.0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082013" w:rsidRPr="00082013" w:rsidRDefault="00082013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082013">
              <w:rPr>
                <w:rFonts w:ascii="Sylfaen" w:hAnsi="Sylfaen" w:cs="Calibri"/>
                <w:color w:val="000000"/>
                <w:sz w:val="18"/>
                <w:szCs w:val="20"/>
              </w:rPr>
              <w:t>43,953.2</w:t>
            </w:r>
          </w:p>
        </w:tc>
      </w:tr>
    </w:tbl>
    <w:p w:rsidR="00840874" w:rsidRDefault="00840874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082013" w:rsidRPr="002204A0" w:rsidRDefault="00082013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:rsidR="00F844F9" w:rsidRPr="00840874" w:rsidRDefault="00F844F9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840874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28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526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1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დაგროვებას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201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9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661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208.0</w:t>
      </w:r>
      <w:r w:rsidRPr="00840874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>9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წლის 1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 xml:space="preserve"> აპრილისათვის</w:t>
      </w:r>
      <w:r w:rsidR="00840874"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6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89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734</w:t>
      </w:r>
      <w:r w:rsidRPr="0084087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82013">
        <w:rPr>
          <w:rFonts w:ascii="Sylfaen" w:hAnsi="Sylfaen" w:cs="Sylfaen"/>
          <w:noProof/>
          <w:sz w:val="22"/>
          <w:szCs w:val="22"/>
          <w:lang w:val="ka-GE"/>
        </w:rPr>
        <w:t>1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840874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840874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:rsidR="00F844F9" w:rsidRPr="002204A0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017F59" w:rsidRPr="00840874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840874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6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4</w:t>
      </w:r>
      <w:r w:rsidR="002D15EC">
        <w:rPr>
          <w:rFonts w:ascii="Sylfaen" w:hAnsi="Sylfaen"/>
          <w:noProof/>
          <w:sz w:val="22"/>
          <w:szCs w:val="22"/>
          <w:lang w:val="ka-GE"/>
        </w:rPr>
        <w:t>2</w:t>
      </w:r>
      <w:r w:rsidR="00BD0D31">
        <w:rPr>
          <w:rFonts w:ascii="Sylfaen" w:hAnsi="Sylfaen"/>
          <w:noProof/>
          <w:sz w:val="22"/>
          <w:szCs w:val="22"/>
          <w:lang w:val="ka-GE"/>
        </w:rPr>
        <w:t>0</w:t>
      </w:r>
      <w:r w:rsidR="009135F5" w:rsidRPr="00840874">
        <w:rPr>
          <w:rFonts w:ascii="Sylfaen" w:hAnsi="Sylfaen"/>
          <w:noProof/>
          <w:sz w:val="22"/>
          <w:szCs w:val="22"/>
          <w:lang w:val="en-US"/>
        </w:rPr>
        <w:t>.</w:t>
      </w:r>
      <w:r w:rsidR="00BD0D31">
        <w:rPr>
          <w:rFonts w:ascii="Sylfaen" w:hAnsi="Sylfaen"/>
          <w:noProof/>
          <w:sz w:val="22"/>
          <w:szCs w:val="22"/>
          <w:lang w:val="ka-GE"/>
        </w:rPr>
        <w:t>4</w:t>
      </w:r>
      <w:r w:rsidR="00734170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840874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840874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840874">
        <w:rPr>
          <w:rFonts w:ascii="Sylfaen" w:hAnsi="Sylfaen"/>
          <w:noProof/>
          <w:sz w:val="22"/>
          <w:szCs w:val="22"/>
          <w:lang w:val="pt-BR"/>
        </w:rPr>
        <w:t>.</w:t>
      </w:r>
    </w:p>
    <w:p w:rsidR="00D6305F" w:rsidRPr="00840874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DA73E6" w:rsidRPr="00840874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84087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840874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2585"/>
        <w:gridCol w:w="1978"/>
      </w:tblGrid>
      <w:tr w:rsidR="00BD0D31" w:rsidRPr="00BD0D31" w:rsidTr="002D15EC">
        <w:trPr>
          <w:trHeight w:val="288"/>
        </w:trPr>
        <w:tc>
          <w:tcPr>
            <w:tcW w:w="2850" w:type="pct"/>
            <w:vMerge w:val="restar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კლება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დაზუსტებული</w:t>
            </w: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გეგმა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ფაქტიური</w:t>
            </w: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 xml:space="preserve">შესრულება </w:t>
            </w:r>
          </w:p>
        </w:tc>
      </w:tr>
      <w:tr w:rsidR="00BD0D31" w:rsidRPr="00BD0D31" w:rsidTr="002D15EC">
        <w:trPr>
          <w:trHeight w:val="288"/>
        </w:trPr>
        <w:tc>
          <w:tcPr>
            <w:tcW w:w="2850" w:type="pct"/>
            <w:vMerge/>
            <w:vAlign w:val="center"/>
            <w:hideMark/>
          </w:tcPr>
          <w:p w:rsidR="00BD0D31" w:rsidRPr="00BD0D31" w:rsidRDefault="00BD0D31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206,728.1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6,420.4</w:t>
            </w:r>
          </w:p>
        </w:tc>
      </w:tr>
      <w:tr w:rsidR="00BD0D31" w:rsidRPr="00BD0D31" w:rsidTr="002D15EC">
        <w:trPr>
          <w:trHeight w:val="288"/>
        </w:trPr>
        <w:tc>
          <w:tcPr>
            <w:tcW w:w="2850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202,228.1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  <w:tr w:rsidR="00BD0D31" w:rsidRPr="00BD0D31" w:rsidTr="002D15EC">
        <w:trPr>
          <w:trHeight w:val="288"/>
        </w:trPr>
        <w:tc>
          <w:tcPr>
            <w:tcW w:w="2850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4,500.0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6,420.1</w:t>
            </w:r>
          </w:p>
        </w:tc>
      </w:tr>
      <w:tr w:rsidR="00BD0D31" w:rsidRPr="00BD0D31" w:rsidTr="002D15EC">
        <w:trPr>
          <w:trHeight w:val="288"/>
        </w:trPr>
        <w:tc>
          <w:tcPr>
            <w:tcW w:w="2850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სხვა დებიტორული დავალიანებები</w:t>
            </w:r>
          </w:p>
        </w:tc>
        <w:tc>
          <w:tcPr>
            <w:tcW w:w="1218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932" w:type="pct"/>
            <w:shd w:val="clear" w:color="auto" w:fill="auto"/>
            <w:vAlign w:val="center"/>
            <w:hideMark/>
          </w:tcPr>
          <w:p w:rsidR="00BD0D31" w:rsidRPr="00BD0D31" w:rsidRDefault="00BD0D31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BD0D31">
              <w:rPr>
                <w:rFonts w:ascii="Sylfaen" w:hAnsi="Sylfaen" w:cs="Calibri"/>
                <w:color w:val="000000"/>
                <w:sz w:val="18"/>
                <w:szCs w:val="20"/>
              </w:rPr>
              <w:t>0.3</w:t>
            </w:r>
          </w:p>
        </w:tc>
      </w:tr>
    </w:tbl>
    <w:p w:rsidR="001F5280" w:rsidRPr="002204A0" w:rsidRDefault="001F5280" w:rsidP="001F5280">
      <w:pPr>
        <w:ind w:right="540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840874" w:rsidRDefault="00840874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:rsidR="00D053D0" w:rsidRPr="00972C30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972C3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:rsidR="00A7481A" w:rsidRPr="00972C30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0F1C67" w:rsidRPr="00972C30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72C3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13</w:t>
      </w:r>
      <w:r w:rsidR="000C3F80" w:rsidRPr="00972C30">
        <w:rPr>
          <w:rFonts w:ascii="Sylfaen" w:hAnsi="Sylfaen"/>
          <w:noProof/>
          <w:sz w:val="22"/>
          <w:szCs w:val="22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589</w:t>
      </w:r>
      <w:r w:rsidR="000C3F80" w:rsidRPr="00972C30">
        <w:rPr>
          <w:rFonts w:ascii="Sylfaen" w:hAnsi="Sylfaen"/>
          <w:noProof/>
          <w:sz w:val="22"/>
          <w:szCs w:val="22"/>
        </w:rPr>
        <w:t>.</w:t>
      </w:r>
      <w:r w:rsidR="00BD0D31">
        <w:rPr>
          <w:rFonts w:ascii="Sylfaen" w:hAnsi="Sylfaen"/>
          <w:noProof/>
          <w:sz w:val="22"/>
          <w:szCs w:val="22"/>
          <w:lang w:val="ka-GE"/>
        </w:rPr>
        <w:t>0</w:t>
      </w:r>
      <w:r w:rsidR="00F5659C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>.</w:t>
      </w:r>
    </w:p>
    <w:p w:rsidR="000F1C67" w:rsidRPr="00972C30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:rsidR="00727C8F" w:rsidRPr="00972C30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972C30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241</w:t>
      </w:r>
      <w:r w:rsidR="000C3F80" w:rsidRPr="00972C30">
        <w:rPr>
          <w:rFonts w:ascii="Sylfaen" w:hAnsi="Sylfaen"/>
          <w:noProof/>
          <w:sz w:val="22"/>
          <w:szCs w:val="22"/>
        </w:rPr>
        <w:t xml:space="preserve"> </w:t>
      </w:r>
      <w:r w:rsidR="00BD0D31">
        <w:rPr>
          <w:rFonts w:ascii="Sylfaen" w:hAnsi="Sylfaen"/>
          <w:noProof/>
          <w:sz w:val="22"/>
          <w:szCs w:val="22"/>
          <w:lang w:val="ka-GE"/>
        </w:rPr>
        <w:t>660</w:t>
      </w:r>
      <w:r w:rsidR="000C3F80" w:rsidRPr="00972C30">
        <w:rPr>
          <w:rFonts w:ascii="Sylfaen" w:hAnsi="Sylfaen"/>
          <w:noProof/>
          <w:sz w:val="22"/>
          <w:szCs w:val="22"/>
        </w:rPr>
        <w:t>.</w:t>
      </w:r>
      <w:r w:rsidR="00972C30" w:rsidRPr="00972C30">
        <w:rPr>
          <w:rFonts w:ascii="Sylfaen" w:hAnsi="Sylfaen"/>
          <w:noProof/>
          <w:sz w:val="22"/>
          <w:szCs w:val="22"/>
          <w:lang w:val="ka-GE"/>
        </w:rPr>
        <w:t>1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972C30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972C3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972C30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>:</w:t>
      </w:r>
    </w:p>
    <w:p w:rsidR="00DD56B5" w:rsidRPr="00972C30" w:rsidRDefault="00DD56B5" w:rsidP="00A007DB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:rsidR="00E65E99" w:rsidRPr="00972C30" w:rsidRDefault="00BD0D31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43</w:t>
      </w:r>
      <w:r w:rsidR="00BE641A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>068</w:t>
      </w:r>
      <w:r w:rsidR="000C3F80" w:rsidRPr="00972C30">
        <w:rPr>
          <w:rFonts w:ascii="Sylfaen" w:hAnsi="Sylfaen" w:cs="LitNusx"/>
          <w:noProof/>
          <w:sz w:val="22"/>
          <w:szCs w:val="22"/>
        </w:rPr>
        <w:t>.</w:t>
      </w:r>
      <w:r>
        <w:rPr>
          <w:rFonts w:ascii="Sylfaen" w:hAnsi="Sylfaen" w:cs="LitNusx"/>
          <w:noProof/>
          <w:sz w:val="22"/>
          <w:szCs w:val="22"/>
          <w:lang w:val="ka-GE"/>
        </w:rPr>
        <w:t>2</w:t>
      </w:r>
      <w:r w:rsidR="00A007DB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972C30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972C30">
        <w:rPr>
          <w:rFonts w:ascii="Sylfaen" w:hAnsi="Sylfaen" w:cs="LitNusx"/>
          <w:noProof/>
          <w:sz w:val="22"/>
          <w:szCs w:val="22"/>
        </w:rPr>
        <w:t>;</w:t>
      </w:r>
    </w:p>
    <w:p w:rsidR="00AF3541" w:rsidRPr="00972C30" w:rsidRDefault="00BD0D31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lastRenderedPageBreak/>
        <w:t>92</w:t>
      </w:r>
      <w:r w:rsidR="00BB507F" w:rsidRPr="00972C30">
        <w:rPr>
          <w:rFonts w:ascii="Sylfaen" w:hAnsi="Sylfaen" w:cs="LitNusx"/>
          <w:noProof/>
          <w:sz w:val="22"/>
          <w:szCs w:val="22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>009</w:t>
      </w:r>
      <w:r w:rsidR="00BB507F" w:rsidRPr="00972C30">
        <w:rPr>
          <w:rFonts w:ascii="Sylfaen" w:hAnsi="Sylfaen" w:cs="LitNusx"/>
          <w:noProof/>
          <w:sz w:val="22"/>
          <w:szCs w:val="22"/>
        </w:rPr>
        <w:t>.</w:t>
      </w:r>
      <w:r>
        <w:rPr>
          <w:rFonts w:ascii="Sylfaen" w:hAnsi="Sylfaen" w:cs="LitNusx"/>
          <w:noProof/>
          <w:sz w:val="22"/>
          <w:szCs w:val="22"/>
          <w:lang w:val="ka-GE"/>
        </w:rPr>
        <w:t>9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972C30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972C30">
        <w:rPr>
          <w:rFonts w:ascii="Sylfaen" w:hAnsi="Sylfaen" w:cs="Sylfaen"/>
          <w:noProof/>
          <w:sz w:val="22"/>
          <w:szCs w:val="22"/>
        </w:rPr>
        <w:t>დან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972C3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972C30">
        <w:rPr>
          <w:rFonts w:ascii="Sylfaen" w:hAnsi="Sylfaen" w:cs="Sylfaen"/>
          <w:noProof/>
          <w:sz w:val="22"/>
          <w:szCs w:val="22"/>
        </w:rPr>
        <w:t>ს</w:t>
      </w:r>
      <w:r w:rsidR="00727C8F" w:rsidRPr="00972C30">
        <w:rPr>
          <w:rFonts w:ascii="Sylfaen" w:hAnsi="Sylfaen"/>
          <w:noProof/>
          <w:sz w:val="22"/>
          <w:szCs w:val="22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972C30">
        <w:rPr>
          <w:rFonts w:ascii="Sylfaen" w:hAnsi="Sylfaen"/>
          <w:noProof/>
          <w:sz w:val="22"/>
          <w:szCs w:val="22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972C30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972C30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:rsidR="00AF3541" w:rsidRPr="00972C30" w:rsidRDefault="00BD0D31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>
        <w:rPr>
          <w:rFonts w:ascii="Sylfaen" w:hAnsi="Sylfaen" w:cs="LitNusx"/>
          <w:noProof/>
          <w:sz w:val="22"/>
          <w:szCs w:val="22"/>
          <w:lang w:val="ka-GE"/>
        </w:rPr>
        <w:t>106</w:t>
      </w:r>
      <w:r w:rsidR="00B47407" w:rsidRPr="00972C3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>
        <w:rPr>
          <w:rFonts w:ascii="Sylfaen" w:hAnsi="Sylfaen" w:cs="LitNusx"/>
          <w:noProof/>
          <w:sz w:val="22"/>
          <w:szCs w:val="22"/>
          <w:lang w:val="ka-GE"/>
        </w:rPr>
        <w:t>582</w:t>
      </w:r>
      <w:r w:rsidR="00B47407" w:rsidRPr="00972C30">
        <w:rPr>
          <w:rFonts w:ascii="Sylfaen" w:hAnsi="Sylfaen" w:cs="LitNusx"/>
          <w:noProof/>
          <w:sz w:val="22"/>
          <w:szCs w:val="22"/>
          <w:lang w:val="ka-GE"/>
        </w:rPr>
        <w:t>.</w:t>
      </w:r>
      <w:r>
        <w:rPr>
          <w:rFonts w:ascii="Sylfaen" w:hAnsi="Sylfaen" w:cs="LitNusx"/>
          <w:noProof/>
          <w:sz w:val="22"/>
          <w:szCs w:val="22"/>
          <w:lang w:val="ka-GE"/>
        </w:rPr>
        <w:t>0</w:t>
      </w:r>
      <w:r w:rsidR="00AF3541" w:rsidRPr="00972C30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:rsidR="00011EF8" w:rsidRPr="002204A0" w:rsidRDefault="00011EF8" w:rsidP="00011EF8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:rsidR="00011EF8" w:rsidRPr="00824A64" w:rsidRDefault="00011EF8" w:rsidP="00824A64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24A64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664E0D" w:rsidRPr="00664E0D" w:rsidTr="002D15EC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დაზუსტებული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ფაქტიური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 xml:space="preserve">შესრულება </w:t>
            </w:r>
          </w:p>
        </w:tc>
      </w:tr>
      <w:tr w:rsidR="00664E0D" w:rsidRPr="00664E0D" w:rsidTr="002D15EC">
        <w:trPr>
          <w:trHeight w:val="288"/>
        </w:trPr>
        <w:tc>
          <w:tcPr>
            <w:tcW w:w="2829" w:type="pct"/>
            <w:vMerge/>
            <w:vAlign w:val="center"/>
            <w:hideMark/>
          </w:tcPr>
          <w:p w:rsidR="00664E0D" w:rsidRPr="00664E0D" w:rsidRDefault="00664E0D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264,246.5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241,660.1</w:t>
            </w:r>
          </w:p>
        </w:tc>
      </w:tr>
      <w:tr w:rsidR="00664E0D" w:rsidRPr="00664E0D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49,732.0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43,068.2</w:t>
            </w:r>
          </w:p>
        </w:tc>
      </w:tr>
      <w:tr w:rsidR="00664E0D" w:rsidRPr="00664E0D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49,732.0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43,068.2</w:t>
            </w:r>
          </w:p>
        </w:tc>
      </w:tr>
      <w:tr w:rsidR="00664E0D" w:rsidRPr="00664E0D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214,514.5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198,591.9</w:t>
            </w:r>
          </w:p>
        </w:tc>
      </w:tr>
      <w:tr w:rsidR="00664E0D" w:rsidRPr="00664E0D" w:rsidTr="002D15EC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214,514.5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198,591.9</w:t>
            </w:r>
          </w:p>
        </w:tc>
      </w:tr>
    </w:tbl>
    <w:p w:rsidR="004B76C2" w:rsidRPr="002204A0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  <w:r w:rsidRPr="002204A0">
        <w:rPr>
          <w:rFonts w:ascii="Sylfaen" w:hAnsi="Sylfaen"/>
          <w:i/>
          <w:noProof/>
          <w:sz w:val="18"/>
          <w:szCs w:val="18"/>
          <w:highlight w:val="yellow"/>
          <w:lang w:val="pt-BR"/>
        </w:rPr>
        <w:t xml:space="preserve">                                                                                                                                                                     </w:t>
      </w:r>
    </w:p>
    <w:p w:rsidR="001E7D45" w:rsidRPr="00824A64" w:rsidRDefault="00AA2FF7" w:rsidP="00824A64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824A64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1B642E" w:rsidRPr="00824A64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5"/>
        <w:gridCol w:w="4605"/>
      </w:tblGrid>
      <w:tr w:rsidR="00EA4DE4" w:rsidRPr="00EA4DE4" w:rsidTr="00EA4DE4">
        <w:trPr>
          <w:trHeight w:val="440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დასახელება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 xml:space="preserve"> საანგარიშო პერიოდის  ფაქტი</w:t>
            </w:r>
          </w:p>
        </w:tc>
      </w:tr>
      <w:tr w:rsidR="00EA4DE4" w:rsidRPr="00EA4DE4" w:rsidTr="00EA4DE4">
        <w:trPr>
          <w:trHeight w:val="359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ბიუჯეტის მხარდაჭერის კრედიტები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106,582.0</w:t>
            </w:r>
          </w:p>
        </w:tc>
      </w:tr>
      <w:tr w:rsidR="00EA4DE4" w:rsidRPr="00EA4DE4" w:rsidTr="00EA4DE4">
        <w:trPr>
          <w:trHeight w:val="260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AFD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106,582.0</w:t>
            </w:r>
          </w:p>
        </w:tc>
      </w:tr>
      <w:tr w:rsidR="00EA4DE4" w:rsidRPr="00EA4DE4" w:rsidTr="00EA4DE4">
        <w:trPr>
          <w:trHeight w:val="269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92,009.9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WB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19,057.9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IFAD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2,235.9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EIB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12,471.8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EBRD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1,922.3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AIIB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1,739.5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ADB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48,950.1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კუვეიტი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97.7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საფრანგეთი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180.5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იაპონია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286.0</w:t>
            </w:r>
          </w:p>
        </w:tc>
      </w:tr>
      <w:tr w:rsidR="00EA4DE4" w:rsidRPr="00EA4DE4" w:rsidTr="00EA4DE4">
        <w:trPr>
          <w:trHeight w:val="3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გერმანია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color w:val="000000"/>
                <w:sz w:val="18"/>
                <w:szCs w:val="20"/>
              </w:rPr>
              <w:t>5,068.3</w:t>
            </w:r>
          </w:p>
        </w:tc>
      </w:tr>
      <w:tr w:rsidR="00EA4DE4" w:rsidRPr="00EA4DE4" w:rsidTr="00EA4DE4">
        <w:trPr>
          <w:trHeight w:val="215"/>
        </w:trPr>
        <w:tc>
          <w:tcPr>
            <w:tcW w:w="283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სულ კრედიტები</w:t>
            </w:r>
          </w:p>
        </w:tc>
        <w:tc>
          <w:tcPr>
            <w:tcW w:w="2170" w:type="pct"/>
            <w:shd w:val="clear" w:color="auto" w:fill="auto"/>
            <w:vAlign w:val="center"/>
            <w:hideMark/>
          </w:tcPr>
          <w:p w:rsidR="00EA4DE4" w:rsidRPr="00EA4DE4" w:rsidRDefault="00EA4DE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EA4DE4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198,591.9</w:t>
            </w:r>
          </w:p>
        </w:tc>
      </w:tr>
    </w:tbl>
    <w:p w:rsidR="00EA4DE4" w:rsidRDefault="00EA4DE4" w:rsidP="00F666EE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F666EE" w:rsidRPr="00F666EE" w:rsidRDefault="00F666EE" w:rsidP="00F666EE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 w:eastAsia="en-US"/>
        </w:rPr>
      </w:pP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>2019 წლის I კვარტლის განმავლობაში ჩატარდა ფასიანი ქაღალდების 13 აუქციონი, გამოშვებული იყო სახაზინო ფასიანი ქაღალდები 415</w:t>
      </w:r>
      <w:r w:rsidRP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>000.0 ათასი ლარის მოცულობით, აქედან 2, 5 და 10 წლის ვადის მქონე სახაზინო ობლიგაციები</w:t>
      </w:r>
      <w:r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ემიტირებული 235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000.0 ათასი ლარის ოდენობით </w:t>
      </w:r>
      <w:r>
        <w:rPr>
          <w:rFonts w:ascii="Sylfaen" w:hAnsi="Sylfaen" w:cs="Sylfaen"/>
          <w:noProof/>
          <w:sz w:val="22"/>
          <w:szCs w:val="22"/>
          <w:lang w:val="ka-GE" w:eastAsia="en-US"/>
        </w:rPr>
        <w:t xml:space="preserve">სრულად წარმოადგენს ე.წ. „ბენჩმარკ ბონდებს“.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უწყობს ფასიანი ქაღალდების ბაზრის განვითარებას. ამავე პერიოდში დაიფარა </w:t>
      </w:r>
      <w:r>
        <w:rPr>
          <w:rFonts w:ascii="Sylfaen" w:hAnsi="Sylfaen" w:cs="Sylfaen"/>
          <w:noProof/>
          <w:sz w:val="22"/>
          <w:szCs w:val="22"/>
          <w:lang w:val="ka-GE" w:eastAsia="en-US"/>
        </w:rPr>
        <w:t xml:space="preserve">371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917.0 ათასი ლარის მოცულობის ფასიანი ქაღალდი. ფასიანი ქაღალდების გამოშვების კომპოზიცია: 14.5% იყო 6 თვის ვადიანობის მქონე სახაზინო ვალდებულებები, 28.9% </w:t>
      </w:r>
      <w:r w:rsid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-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12 თვის ვადიანობის მქონე სახაზინო ვალდებულებები, 28.9% </w:t>
      </w:r>
      <w:r w:rsid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-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2 წლის ვადიანობის მქონე სახაზინო ობლიგაციები, 21.7% </w:t>
      </w:r>
      <w:r w:rsid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-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5 წლის ვადიანობის მქონე სახაზინო ობლიგაციები და 6.0% - 10 წლის ვადიანობის მქონე  სახაზინო ობლიგაციები. </w:t>
      </w:r>
    </w:p>
    <w:p w:rsidR="002E7B2E" w:rsidRPr="001A2A64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F666EE" w:rsidRPr="00F666EE" w:rsidRDefault="00F666EE" w:rsidP="00F666EE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 w:eastAsia="en-US"/>
        </w:rPr>
      </w:pP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>საანგარიშო პერიოდში სახაზინო ფასიანი ქაღალდების გამოშვებით მიღებულმა თანხამ 408</w:t>
      </w:r>
      <w:r w:rsidRP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>776.7 ათასი ლარი, ხოლო ძირითადი თანხის დაფარვამ 365</w:t>
      </w:r>
      <w:r w:rsidRPr="001A2A64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>708.5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ზრდამ შეადგინა 43</w:t>
      </w:r>
      <w:r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Pr="00F666EE">
        <w:rPr>
          <w:rFonts w:ascii="Sylfaen" w:hAnsi="Sylfaen" w:cs="Sylfaen"/>
          <w:noProof/>
          <w:sz w:val="22"/>
          <w:szCs w:val="22"/>
          <w:lang w:val="ka-GE" w:eastAsia="en-US"/>
        </w:rPr>
        <w:t xml:space="preserve">068.2 ათასი ლარი, რაც ბიუჯეტის დაგეგმილ მაჩვენებელთან შედარებით 86.6%-ია. </w:t>
      </w:r>
    </w:p>
    <w:p w:rsidR="002E7B2E" w:rsidRPr="00664E0D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:rsidR="00DE5BE7" w:rsidRPr="006C45B0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6C45B0">
        <w:rPr>
          <w:rFonts w:ascii="Sylfaen" w:hAnsi="Sylfaen" w:cs="Sylfaen"/>
          <w:b/>
          <w:noProof/>
          <w:sz w:val="22"/>
          <w:szCs w:val="22"/>
          <w:lang w:val="ka-GE" w:eastAsia="en-US"/>
        </w:rPr>
        <w:lastRenderedPageBreak/>
        <w:t>სახაზინო ფასიანი ქაღალდების გამოშვება/დაფარვით 201</w:t>
      </w:r>
      <w:r w:rsidR="001D78C3" w:rsidRPr="006C45B0">
        <w:rPr>
          <w:rFonts w:ascii="Sylfaen" w:hAnsi="Sylfaen" w:cs="Sylfaen"/>
          <w:b/>
          <w:noProof/>
          <w:sz w:val="22"/>
          <w:szCs w:val="22"/>
          <w:lang w:val="ka-GE" w:eastAsia="en-US"/>
        </w:rPr>
        <w:t>8</w:t>
      </w:r>
      <w:r w:rsidRPr="006C45B0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6C45B0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C45B0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3 </w:t>
      </w:r>
      <w:r w:rsidR="006C45B0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6C45B0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:rsidR="00AA2FF7" w:rsidRPr="006C45B0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:rsidR="00AA2FF7" w:rsidRPr="006C45B0" w:rsidRDefault="00AA2FF7" w:rsidP="00C9349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C45B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6C45B0" w:rsidRPr="006C45B0" w:rsidTr="001A2A64">
        <w:trPr>
          <w:trHeight w:val="809"/>
        </w:trPr>
        <w:tc>
          <w:tcPr>
            <w:tcW w:w="805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 w:eastAsia="en-US"/>
              </w:rPr>
            </w:pPr>
            <w:r w:rsidRPr="006C45B0">
              <w:rPr>
                <w:rFonts w:ascii="Sylfaen" w:hAnsi="Sylfaen" w:cs="Arial"/>
                <w:b/>
                <w:bCs/>
                <w:sz w:val="18"/>
                <w:szCs w:val="18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6C45B0" w:rsidRPr="006C45B0" w:rsidTr="001A2A64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153,026.6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199,603.8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C45B0">
              <w:rPr>
                <w:rFonts w:ascii="Sylfaen" w:hAnsi="Sylfaen" w:cs="Arial"/>
                <w:sz w:val="18"/>
                <w:szCs w:val="18"/>
              </w:rPr>
              <w:t>-46,577.2</w:t>
            </w:r>
          </w:p>
        </w:tc>
      </w:tr>
      <w:tr w:rsidR="006C45B0" w:rsidRPr="006C45B0" w:rsidTr="001A2A64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128,112.2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56,842.8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C45B0">
              <w:rPr>
                <w:rFonts w:ascii="Sylfaen" w:hAnsi="Sylfaen" w:cs="Arial"/>
                <w:sz w:val="18"/>
                <w:szCs w:val="18"/>
              </w:rPr>
              <w:t>71,269.4</w:t>
            </w:r>
          </w:p>
        </w:tc>
      </w:tr>
      <w:tr w:rsidR="006C45B0" w:rsidRPr="006C45B0" w:rsidTr="001A2A64">
        <w:trPr>
          <w:trHeight w:val="288"/>
        </w:trPr>
        <w:tc>
          <w:tcPr>
            <w:tcW w:w="805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127,637.9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C45B0">
              <w:rPr>
                <w:rFonts w:ascii="Sylfaen" w:hAnsi="Sylfaen" w:cs="Arial"/>
                <w:color w:val="000000"/>
                <w:sz w:val="18"/>
                <w:szCs w:val="18"/>
              </w:rPr>
              <w:t>109,262.0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C45B0">
              <w:rPr>
                <w:rFonts w:ascii="Sylfaen" w:hAnsi="Sylfaen" w:cs="Arial"/>
                <w:sz w:val="18"/>
                <w:szCs w:val="18"/>
              </w:rPr>
              <w:t>18,376.0</w:t>
            </w:r>
          </w:p>
        </w:tc>
      </w:tr>
      <w:tr w:rsidR="006C45B0" w:rsidRPr="006C45B0" w:rsidTr="001A2A64">
        <w:trPr>
          <w:trHeight w:val="288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408,776.8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365,708.6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:rsidR="006C45B0" w:rsidRPr="006C45B0" w:rsidRDefault="006C45B0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</w:pPr>
            <w:r w:rsidRPr="006C45B0">
              <w:rPr>
                <w:rFonts w:ascii="Sylfaen" w:hAnsi="Sylfaen" w:cs="Arial"/>
                <w:b/>
                <w:bCs/>
                <w:i/>
                <w:iCs/>
                <w:sz w:val="18"/>
                <w:szCs w:val="18"/>
              </w:rPr>
              <w:t>43,068.2</w:t>
            </w:r>
          </w:p>
        </w:tc>
      </w:tr>
    </w:tbl>
    <w:p w:rsidR="006F7A76" w:rsidRDefault="006F7A76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A36795" w:rsidRPr="002204A0" w:rsidRDefault="00A36795" w:rsidP="007C1AD5">
      <w:pPr>
        <w:ind w:firstLine="708"/>
        <w:jc w:val="right"/>
        <w:rPr>
          <w:rFonts w:ascii="Sylfaen" w:hAnsi="Sylfaen"/>
          <w:noProof/>
          <w:sz w:val="18"/>
          <w:szCs w:val="18"/>
          <w:highlight w:val="yellow"/>
          <w:lang w:val="en-US"/>
        </w:rPr>
      </w:pPr>
    </w:p>
    <w:p w:rsidR="006524A8" w:rsidRPr="00A36795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A36795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664E0D">
        <w:rPr>
          <w:rFonts w:ascii="Sylfaen" w:hAnsi="Sylfaen" w:cs="Sylfaen"/>
          <w:noProof/>
          <w:sz w:val="22"/>
          <w:szCs w:val="22"/>
        </w:rPr>
        <w:t>228</w:t>
      </w:r>
      <w:r w:rsidR="00872462" w:rsidRPr="00A36795">
        <w:rPr>
          <w:rFonts w:ascii="Sylfaen" w:hAnsi="Sylfaen" w:cs="Sylfaen"/>
          <w:noProof/>
          <w:sz w:val="22"/>
          <w:szCs w:val="22"/>
        </w:rPr>
        <w:t xml:space="preserve"> </w:t>
      </w:r>
      <w:r w:rsidR="00664E0D">
        <w:rPr>
          <w:rFonts w:ascii="Sylfaen" w:hAnsi="Sylfaen" w:cs="Sylfaen"/>
          <w:noProof/>
          <w:sz w:val="22"/>
          <w:szCs w:val="22"/>
        </w:rPr>
        <w:t>071</w:t>
      </w:r>
      <w:r w:rsidR="00872462" w:rsidRPr="00A36795">
        <w:rPr>
          <w:rFonts w:ascii="Sylfaen" w:hAnsi="Sylfaen" w:cs="Sylfaen"/>
          <w:noProof/>
          <w:sz w:val="22"/>
          <w:szCs w:val="22"/>
        </w:rPr>
        <w:t>.</w:t>
      </w:r>
      <w:r w:rsidR="00664E0D">
        <w:rPr>
          <w:rFonts w:ascii="Sylfaen" w:hAnsi="Sylfaen" w:cs="Sylfaen"/>
          <w:noProof/>
          <w:sz w:val="22"/>
          <w:szCs w:val="22"/>
        </w:rPr>
        <w:t>1</w:t>
      </w:r>
      <w:r w:rsidR="00E83FB9" w:rsidRPr="00A36795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A36795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A36795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A36795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:rsidR="001D78C3" w:rsidRPr="00A36795" w:rsidRDefault="001D78C3" w:rsidP="0043426A">
      <w:pPr>
        <w:ind w:firstLine="708"/>
        <w:jc w:val="right"/>
        <w:rPr>
          <w:rFonts w:ascii="Sylfaen" w:hAnsi="Sylfaen"/>
          <w:noProof/>
          <w:sz w:val="22"/>
          <w:szCs w:val="22"/>
          <w:lang w:val="sv-SE"/>
        </w:rPr>
      </w:pPr>
    </w:p>
    <w:p w:rsidR="007F2B61" w:rsidRPr="00A36795" w:rsidRDefault="006F7A76" w:rsidP="006F7A76">
      <w:pPr>
        <w:ind w:firstLine="708"/>
        <w:jc w:val="center"/>
        <w:rPr>
          <w:rFonts w:ascii="Sylfaen" w:hAnsi="Sylfaen"/>
          <w:i/>
          <w:noProof/>
          <w:sz w:val="18"/>
          <w:szCs w:val="18"/>
          <w:lang w:val="pt-BR"/>
        </w:rPr>
      </w:pPr>
      <w:r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</w:t>
      </w:r>
      <w:r w:rsidR="007F2B61" w:rsidRPr="00A36795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664E0D" w:rsidRPr="00664E0D" w:rsidTr="001A2A64">
        <w:trPr>
          <w:trHeight w:val="288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დაზუსტებული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3 თვის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>ფაქტიური</w:t>
            </w: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br/>
              <w:t xml:space="preserve">შესრულება 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vMerge/>
            <w:vAlign w:val="center"/>
            <w:hideMark/>
          </w:tcPr>
          <w:p w:rsidR="00664E0D" w:rsidRPr="00664E0D" w:rsidRDefault="00664E0D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229,849.2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228,071.1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12,165.1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12,165.1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10,000.0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10,000.0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2,165.1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2,165.1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217,684.2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215,906.1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216,734.2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215,906.1</w:t>
            </w:r>
          </w:p>
        </w:tc>
      </w:tr>
      <w:tr w:rsidR="00664E0D" w:rsidRPr="00664E0D" w:rsidTr="001A2A64">
        <w:trPr>
          <w:trHeight w:val="288"/>
        </w:trPr>
        <w:tc>
          <w:tcPr>
            <w:tcW w:w="2829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950.0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:rsidR="00664E0D" w:rsidRPr="00664E0D" w:rsidRDefault="00664E0D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664E0D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</w:tbl>
    <w:p w:rsidR="00664E0D" w:rsidRDefault="00664E0D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6C45B0" w:rsidRDefault="006C45B0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:rsidR="00AB3468" w:rsidRPr="00A63B67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A63B6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A63B67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A63B67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:rsidR="00882534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:rsidR="00D33FDD" w:rsidRPr="00A1452E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63B67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A1452E">
        <w:rPr>
          <w:rFonts w:ascii="Sylfaen" w:hAnsi="Sylfaen"/>
          <w:noProof/>
          <w:sz w:val="22"/>
          <w:szCs w:val="22"/>
          <w:lang w:val="ka-GE"/>
        </w:rPr>
        <w:t>201</w:t>
      </w:r>
      <w:r w:rsidR="00A1452E" w:rsidRPr="00A1452E">
        <w:rPr>
          <w:rFonts w:ascii="Sylfaen" w:hAnsi="Sylfaen"/>
          <w:noProof/>
          <w:sz w:val="22"/>
          <w:szCs w:val="22"/>
        </w:rPr>
        <w:t>9</w:t>
      </w:r>
      <w:r w:rsidRPr="00A1452E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A1452E">
        <w:rPr>
          <w:rFonts w:ascii="Sylfaen" w:hAnsi="Sylfaen" w:cs="Sylfaen"/>
          <w:sz w:val="22"/>
          <w:szCs w:val="22"/>
        </w:rPr>
        <w:t>3</w:t>
      </w:r>
      <w:r w:rsidR="002223BC" w:rsidRPr="00A1452E">
        <w:rPr>
          <w:rFonts w:ascii="Sylfaen" w:hAnsi="Sylfaen" w:cs="Sylfaen"/>
          <w:sz w:val="22"/>
          <w:szCs w:val="22"/>
        </w:rPr>
        <w:t>1</w:t>
      </w:r>
      <w:r w:rsidR="00804B6C" w:rsidRPr="00A1452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1452E" w:rsidRPr="00A1452E">
        <w:rPr>
          <w:rFonts w:ascii="Sylfaen" w:hAnsi="Sylfaen" w:cs="Sylfaen"/>
          <w:sz w:val="22"/>
          <w:szCs w:val="22"/>
          <w:lang w:val="ka-GE"/>
        </w:rPr>
        <w:t>მარტის</w:t>
      </w:r>
      <w:r w:rsidR="00804B6C" w:rsidRPr="00A1452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A1452E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A1452E">
        <w:rPr>
          <w:rFonts w:ascii="Sylfaen" w:hAnsi="Sylfaen"/>
          <w:noProof/>
          <w:sz w:val="22"/>
          <w:szCs w:val="22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A1452E">
        <w:rPr>
          <w:rFonts w:ascii="Sylfaen" w:hAnsi="Sylfaen"/>
          <w:noProof/>
          <w:sz w:val="22"/>
          <w:szCs w:val="22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ვალ</w:t>
      </w:r>
      <w:r w:rsidR="00FD1B01" w:rsidRPr="00A1452E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A1452E">
        <w:rPr>
          <w:rFonts w:ascii="Sylfaen" w:hAnsi="Sylfaen"/>
          <w:noProof/>
          <w:sz w:val="22"/>
          <w:szCs w:val="22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შეადგინა</w:t>
      </w:r>
      <w:r w:rsidR="00A1452E" w:rsidRPr="00A1452E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41698E" w:rsidRPr="00A1452E">
        <w:rPr>
          <w:rFonts w:ascii="Sylfaen" w:hAnsi="Sylfaen" w:cs="Sylfaen"/>
          <w:sz w:val="22"/>
          <w:szCs w:val="22"/>
          <w:lang w:val="ka-GE"/>
        </w:rPr>
        <w:t>17 7</w:t>
      </w:r>
      <w:r w:rsidR="00A1452E" w:rsidRPr="00A1452E">
        <w:rPr>
          <w:rFonts w:ascii="Sylfaen" w:hAnsi="Sylfaen" w:cs="Sylfaen"/>
          <w:sz w:val="22"/>
          <w:szCs w:val="22"/>
        </w:rPr>
        <w:t>87</w:t>
      </w:r>
      <w:r w:rsidR="0041698E" w:rsidRPr="00A1452E">
        <w:rPr>
          <w:rFonts w:ascii="Sylfaen" w:hAnsi="Sylfaen" w:cs="Sylfaen"/>
          <w:sz w:val="22"/>
          <w:szCs w:val="22"/>
          <w:lang w:val="ka-GE"/>
        </w:rPr>
        <w:t>.</w:t>
      </w:r>
      <w:r w:rsidR="00A1452E" w:rsidRPr="00A1452E">
        <w:rPr>
          <w:rFonts w:ascii="Sylfaen" w:hAnsi="Sylfaen" w:cs="Sylfaen"/>
          <w:sz w:val="22"/>
          <w:szCs w:val="22"/>
        </w:rPr>
        <w:t>4</w:t>
      </w:r>
      <w:r w:rsidR="003929E8" w:rsidRPr="00A1452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მლნ</w:t>
      </w:r>
      <w:r w:rsidR="00D030BC" w:rsidRPr="00A1452E">
        <w:rPr>
          <w:rFonts w:ascii="Sylfaen" w:hAnsi="Sylfaen"/>
          <w:noProof/>
          <w:sz w:val="22"/>
          <w:szCs w:val="22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ლარი</w:t>
      </w:r>
      <w:r w:rsidR="00C81D45" w:rsidRPr="00A1452E">
        <w:rPr>
          <w:rFonts w:ascii="Sylfaen" w:hAnsi="Sylfaen"/>
          <w:noProof/>
          <w:sz w:val="22"/>
          <w:szCs w:val="22"/>
          <w:lang w:val="ka-GE"/>
        </w:rPr>
        <w:t>,</w:t>
      </w:r>
      <w:r w:rsidR="003E75C8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მათ</w:t>
      </w:r>
      <w:r w:rsidR="00D030BC" w:rsidRPr="00A1452E">
        <w:rPr>
          <w:rFonts w:ascii="Sylfaen" w:hAnsi="Sylfaen"/>
          <w:noProof/>
          <w:sz w:val="22"/>
          <w:szCs w:val="22"/>
        </w:rPr>
        <w:t xml:space="preserve"> </w:t>
      </w:r>
      <w:r w:rsidR="00D030BC" w:rsidRPr="00A1452E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A1452E">
        <w:rPr>
          <w:rFonts w:ascii="Sylfaen" w:hAnsi="Sylfaen"/>
          <w:noProof/>
          <w:sz w:val="22"/>
          <w:szCs w:val="22"/>
          <w:lang w:val="sv-SE"/>
        </w:rPr>
        <w:t>:</w:t>
      </w:r>
    </w:p>
    <w:p w:rsidR="00D6620E" w:rsidRPr="00A1452E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A1452E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A1452E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A1452E">
        <w:rPr>
          <w:rFonts w:ascii="Sylfaen" w:hAnsi="Sylfaen"/>
          <w:noProof/>
          <w:sz w:val="22"/>
          <w:szCs w:val="22"/>
        </w:rPr>
        <w:t xml:space="preserve">3 </w:t>
      </w:r>
      <w:r w:rsidR="0041698E" w:rsidRPr="00A1452E">
        <w:rPr>
          <w:rFonts w:ascii="Sylfaen" w:hAnsi="Sylfaen"/>
          <w:noProof/>
          <w:sz w:val="22"/>
          <w:szCs w:val="22"/>
          <w:lang w:val="ka-GE"/>
        </w:rPr>
        <w:t>2</w:t>
      </w:r>
      <w:r w:rsidR="00A1452E" w:rsidRPr="00A1452E">
        <w:rPr>
          <w:rFonts w:ascii="Sylfaen" w:hAnsi="Sylfaen"/>
          <w:noProof/>
          <w:sz w:val="22"/>
          <w:szCs w:val="22"/>
        </w:rPr>
        <w:t>83</w:t>
      </w:r>
      <w:r w:rsidR="00804B6C" w:rsidRPr="00A1452E">
        <w:rPr>
          <w:rFonts w:ascii="Sylfaen" w:hAnsi="Sylfaen"/>
          <w:noProof/>
          <w:sz w:val="22"/>
          <w:szCs w:val="22"/>
        </w:rPr>
        <w:t>.</w:t>
      </w:r>
      <w:r w:rsidR="0041698E" w:rsidRPr="00A1452E">
        <w:rPr>
          <w:rFonts w:ascii="Sylfaen" w:hAnsi="Sylfaen"/>
          <w:noProof/>
          <w:sz w:val="22"/>
          <w:szCs w:val="22"/>
          <w:lang w:val="ka-GE"/>
        </w:rPr>
        <w:t>5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A1452E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A1452E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A1452E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D6620E" w:rsidRPr="00A1452E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</w:t>
      </w:r>
      <w:r w:rsidR="00F23F32" w:rsidRPr="00A1452E">
        <w:rPr>
          <w:rFonts w:ascii="Sylfaen" w:hAnsi="Sylfaen" w:cs="Sylfaen"/>
          <w:sz w:val="22"/>
          <w:szCs w:val="22"/>
        </w:rPr>
        <w:t xml:space="preserve"> </w:t>
      </w:r>
      <w:r w:rsidRPr="00A1452E">
        <w:rPr>
          <w:rFonts w:ascii="Sylfaen" w:hAnsi="Sylfaen" w:cs="Sylfaen"/>
          <w:sz w:val="22"/>
          <w:szCs w:val="22"/>
          <w:lang w:val="ka-GE"/>
        </w:rPr>
        <w:t xml:space="preserve">განახლებადი სახელმწიფო ობლიგაცია („ობლიგაცია სებ-ისთვის“) – </w:t>
      </w:r>
      <w:r w:rsidR="001D78C3" w:rsidRPr="00A1452E">
        <w:rPr>
          <w:rFonts w:ascii="Sylfaen" w:hAnsi="Sylfaen" w:cs="Sylfaen"/>
          <w:sz w:val="22"/>
          <w:szCs w:val="22"/>
          <w:lang w:val="ka-GE"/>
        </w:rPr>
        <w:t>2</w:t>
      </w:r>
      <w:r w:rsidR="00A1452E" w:rsidRPr="00A1452E">
        <w:rPr>
          <w:rFonts w:ascii="Sylfaen" w:hAnsi="Sylfaen" w:cs="Sylfaen"/>
          <w:sz w:val="22"/>
          <w:szCs w:val="22"/>
        </w:rPr>
        <w:t>4</w:t>
      </w:r>
      <w:r w:rsidRPr="00A1452E">
        <w:rPr>
          <w:rFonts w:ascii="Sylfaen" w:hAnsi="Sylfaen" w:cs="Sylfaen"/>
          <w:sz w:val="22"/>
          <w:szCs w:val="22"/>
          <w:lang w:val="ka-GE"/>
        </w:rPr>
        <w:t>0.8 მლნ ლარი</w:t>
      </w:r>
      <w:r w:rsidR="00D6620E" w:rsidRPr="00A1452E">
        <w:rPr>
          <w:rFonts w:ascii="Sylfaen" w:hAnsi="Sylfaen" w:cs="Sylfaen"/>
          <w:sz w:val="22"/>
          <w:szCs w:val="22"/>
          <w:lang w:val="ka-GE"/>
        </w:rPr>
        <w:t>;</w:t>
      </w:r>
    </w:p>
    <w:p w:rsidR="00D6620E" w:rsidRPr="00A1452E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A1452E">
        <w:rPr>
          <w:rFonts w:ascii="Sylfaen" w:hAnsi="Sylfaen" w:cs="Sylfaen"/>
          <w:sz w:val="22"/>
          <w:szCs w:val="22"/>
        </w:rPr>
        <w:t xml:space="preserve"> </w:t>
      </w:r>
      <w:r w:rsidRPr="00A1452E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F23F32" w:rsidRPr="00A1452E">
        <w:rPr>
          <w:rFonts w:ascii="Sylfaen" w:hAnsi="Sylfaen" w:cs="Sylfaen"/>
          <w:sz w:val="22"/>
          <w:szCs w:val="22"/>
          <w:lang w:val="ka-GE"/>
        </w:rPr>
        <w:t>1</w:t>
      </w:r>
      <w:r w:rsidR="00A1452E" w:rsidRPr="00A1452E">
        <w:rPr>
          <w:rFonts w:ascii="Sylfaen" w:hAnsi="Sylfaen" w:cs="Sylfaen"/>
          <w:sz w:val="22"/>
          <w:szCs w:val="22"/>
        </w:rPr>
        <w:t>8</w:t>
      </w:r>
      <w:r w:rsidR="00F23F32" w:rsidRPr="00A1452E">
        <w:rPr>
          <w:rFonts w:ascii="Sylfaen" w:hAnsi="Sylfaen" w:cs="Sylfaen"/>
          <w:sz w:val="22"/>
          <w:szCs w:val="22"/>
          <w:lang w:val="ka-GE"/>
        </w:rPr>
        <w:t>2</w:t>
      </w:r>
      <w:r w:rsidRPr="00A1452E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 w:rsidRPr="00A1452E">
        <w:rPr>
          <w:rFonts w:ascii="Sylfaen" w:hAnsi="Sylfaen" w:cs="Sylfaen"/>
          <w:sz w:val="22"/>
          <w:szCs w:val="22"/>
          <w:lang w:val="ka-GE"/>
        </w:rPr>
        <w:t>;</w:t>
      </w:r>
    </w:p>
    <w:p w:rsidR="00F23F32" w:rsidRPr="00A1452E" w:rsidRDefault="00F23F32" w:rsidP="00F23F32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ვალდებულებები - 56</w:t>
      </w:r>
      <w:r w:rsidR="00A1452E" w:rsidRPr="00A1452E">
        <w:rPr>
          <w:rFonts w:ascii="Sylfaen" w:hAnsi="Sylfaen" w:cs="Sylfaen"/>
          <w:sz w:val="22"/>
          <w:szCs w:val="22"/>
        </w:rPr>
        <w:t>4</w:t>
      </w:r>
      <w:r w:rsidRPr="00A1452E">
        <w:rPr>
          <w:rFonts w:ascii="Sylfaen" w:hAnsi="Sylfaen" w:cs="Sylfaen"/>
          <w:sz w:val="22"/>
          <w:szCs w:val="22"/>
        </w:rPr>
        <w:t>.</w:t>
      </w:r>
      <w:r w:rsidR="00A1452E" w:rsidRPr="00A1452E">
        <w:rPr>
          <w:rFonts w:ascii="Sylfaen" w:hAnsi="Sylfaen" w:cs="Sylfaen"/>
          <w:sz w:val="22"/>
          <w:szCs w:val="22"/>
        </w:rPr>
        <w:t>0</w:t>
      </w:r>
      <w:r w:rsidRPr="00A1452E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:rsidR="00D6620E" w:rsidRPr="00A1452E" w:rsidRDefault="00D6620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A1452E">
        <w:rPr>
          <w:rFonts w:ascii="Sylfaen" w:hAnsi="Sylfaen" w:cs="Sylfaen"/>
          <w:sz w:val="22"/>
          <w:szCs w:val="22"/>
        </w:rPr>
        <w:t xml:space="preserve"> </w:t>
      </w:r>
      <w:r w:rsidRPr="00A1452E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C7711D" w:rsidRPr="00A1452E">
        <w:rPr>
          <w:rFonts w:ascii="Sylfaen" w:hAnsi="Sylfaen" w:cs="Sylfaen"/>
          <w:sz w:val="22"/>
          <w:szCs w:val="22"/>
          <w:lang w:val="ka-GE"/>
        </w:rPr>
        <w:t>2</w:t>
      </w:r>
      <w:r w:rsidRPr="00A1452E">
        <w:rPr>
          <w:rFonts w:ascii="Sylfaen" w:hAnsi="Sylfaen" w:cs="Sylfaen"/>
          <w:sz w:val="22"/>
          <w:szCs w:val="22"/>
        </w:rPr>
        <w:t xml:space="preserve"> </w:t>
      </w:r>
      <w:r w:rsidR="00F23F32" w:rsidRPr="00A1452E">
        <w:rPr>
          <w:rFonts w:ascii="Sylfaen" w:hAnsi="Sylfaen" w:cs="Sylfaen"/>
          <w:sz w:val="22"/>
          <w:szCs w:val="22"/>
          <w:lang w:val="ka-GE"/>
        </w:rPr>
        <w:t>2</w:t>
      </w:r>
      <w:r w:rsidR="00A1452E" w:rsidRPr="00A1452E">
        <w:rPr>
          <w:rFonts w:ascii="Sylfaen" w:hAnsi="Sylfaen" w:cs="Sylfaen"/>
          <w:sz w:val="22"/>
          <w:szCs w:val="22"/>
        </w:rPr>
        <w:t>96</w:t>
      </w:r>
      <w:r w:rsidRPr="00A1452E">
        <w:rPr>
          <w:rFonts w:ascii="Sylfaen" w:hAnsi="Sylfaen" w:cs="Sylfaen"/>
          <w:sz w:val="22"/>
          <w:szCs w:val="22"/>
        </w:rPr>
        <w:t>.</w:t>
      </w:r>
      <w:r w:rsidR="00A1452E" w:rsidRPr="00A1452E">
        <w:rPr>
          <w:rFonts w:ascii="Sylfaen" w:hAnsi="Sylfaen" w:cs="Sylfaen"/>
          <w:sz w:val="22"/>
          <w:szCs w:val="22"/>
        </w:rPr>
        <w:t>7</w:t>
      </w:r>
      <w:r w:rsidRPr="00A1452E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:rsidR="00B863BF" w:rsidRPr="00A1452E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A1452E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A1452E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A1452E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91E5A" w:rsidRPr="00A1452E">
        <w:rPr>
          <w:rFonts w:ascii="Sylfaen" w:hAnsi="Sylfaen"/>
          <w:noProof/>
          <w:sz w:val="22"/>
          <w:szCs w:val="22"/>
          <w:lang w:val="ka-GE"/>
        </w:rPr>
        <w:t>1</w:t>
      </w:r>
      <w:r w:rsidR="00A63B67" w:rsidRPr="00A1452E">
        <w:rPr>
          <w:rFonts w:ascii="Sylfaen" w:hAnsi="Sylfaen"/>
          <w:noProof/>
          <w:sz w:val="22"/>
          <w:szCs w:val="22"/>
        </w:rPr>
        <w:t>4</w:t>
      </w:r>
      <w:r w:rsidR="00854B0F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A63B67" w:rsidRPr="00A1452E">
        <w:rPr>
          <w:rFonts w:ascii="Sylfaen" w:hAnsi="Sylfaen"/>
          <w:noProof/>
          <w:sz w:val="22"/>
          <w:szCs w:val="22"/>
        </w:rPr>
        <w:t>5</w:t>
      </w:r>
      <w:r w:rsidR="00A1452E" w:rsidRPr="00A1452E">
        <w:rPr>
          <w:rFonts w:ascii="Sylfaen" w:hAnsi="Sylfaen"/>
          <w:noProof/>
          <w:sz w:val="22"/>
          <w:szCs w:val="22"/>
        </w:rPr>
        <w:t>03</w:t>
      </w:r>
      <w:r w:rsidR="00191E5A" w:rsidRPr="00A1452E">
        <w:rPr>
          <w:rFonts w:ascii="Sylfaen" w:hAnsi="Sylfaen"/>
          <w:noProof/>
          <w:sz w:val="22"/>
          <w:szCs w:val="22"/>
          <w:lang w:val="ka-GE"/>
        </w:rPr>
        <w:t>.</w:t>
      </w:r>
      <w:r w:rsidR="00C7711D" w:rsidRPr="00A1452E">
        <w:rPr>
          <w:rFonts w:ascii="Sylfaen" w:hAnsi="Sylfaen"/>
          <w:noProof/>
          <w:sz w:val="22"/>
          <w:szCs w:val="22"/>
          <w:lang w:val="ka-GE"/>
        </w:rPr>
        <w:t>9</w:t>
      </w:r>
      <w:r w:rsidR="00854B0F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A1452E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52E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A1452E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A1452E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A1452E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AA2FF7" w:rsidRPr="00260A77" w:rsidRDefault="00AA2FF7" w:rsidP="00191E5A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260A77">
        <w:rPr>
          <w:rFonts w:ascii="Sylfaen" w:hAnsi="Sylfaen"/>
          <w:i/>
          <w:noProof/>
          <w:sz w:val="16"/>
          <w:szCs w:val="16"/>
          <w:lang w:val="pt-BR"/>
        </w:rPr>
        <w:t>ათას ლარებში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8600"/>
        <w:gridCol w:w="2180"/>
      </w:tblGrid>
      <w:tr w:rsidR="00A1452E" w:rsidRPr="00A1452E" w:rsidTr="00A1452E">
        <w:trPr>
          <w:trHeight w:val="575"/>
          <w:tblHeader/>
        </w:trPr>
        <w:tc>
          <w:tcPr>
            <w:tcW w:w="8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RANGE!E3:F44"/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კრედიტორი </w:t>
            </w:r>
            <w:bookmarkEnd w:id="1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ნაშთი 31.03.2019</w:t>
            </w: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</w:r>
            <w:r w:rsidRPr="00A1452E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A1452E" w:rsidRPr="00A1452E" w:rsidTr="0059613B">
        <w:trPr>
          <w:trHeight w:val="377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საგარეო ვალის ნაშთი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14,503,885.2</w:t>
            </w:r>
          </w:p>
        </w:tc>
      </w:tr>
      <w:tr w:rsidR="00A1452E" w:rsidRPr="00A1452E" w:rsidTr="00A1452E">
        <w:trPr>
          <w:trHeight w:val="44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მთავრობის საგარეო ვალის ნაშთი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14,055,524.9</w:t>
            </w:r>
          </w:p>
        </w:tc>
      </w:tr>
      <w:tr w:rsidR="00A1452E" w:rsidRPr="00A1452E" w:rsidTr="00A1452E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მრავალმხრივი კრედიტორებისაგან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10,159,966.0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მსოფლიო ბანკი  (WB)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5,179,855.4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83,118.0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საერთაშორისო სავალუტო ფონდი (IMF)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93,408.4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322,099.3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აზიის განვითარების ბანკი (ADB)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3,062,928.8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 საინვესტიციო ბანკი  (EIB)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1,263,126.4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ევროკავშირი (EU)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114,771.4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აზიის ინფრასტრუქტურის საინვესტიციო ბანკი (AIIB)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40,658.2</w:t>
            </w:r>
          </w:p>
        </w:tc>
      </w:tr>
      <w:tr w:rsidR="00A1452E" w:rsidRPr="00A1452E" w:rsidTr="00A1452E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კრედიტორებისაგან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2,544,971.3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54,154.0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20,011.1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568.1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38,413.5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15,393.3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158,181.2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22,351.0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378.1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345.3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44,606.3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4,809.2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260A77" w:rsidRDefault="00A1452E">
            <w:pPr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861,876.0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572,216.5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27,293.7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2,157.9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53,455.1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668,760.9</w:t>
            </w:r>
          </w:p>
        </w:tc>
      </w:tr>
      <w:tr w:rsidR="00A1452E" w:rsidRPr="00A1452E" w:rsidTr="00A1452E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სხვა საგარეო ვალდებულებები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1,345,700.0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1,345,700.0</w:t>
            </w:r>
          </w:p>
        </w:tc>
      </w:tr>
      <w:tr w:rsidR="00A1452E" w:rsidRPr="00A1452E" w:rsidTr="00A1452E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გარანტიით აღებული კრედიტები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4,887.6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4,887.6</w:t>
            </w:r>
          </w:p>
        </w:tc>
      </w:tr>
      <w:tr w:rsidR="00A1452E" w:rsidRPr="00A1452E" w:rsidTr="0059613B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 w:themeFill="accent1" w:themeFillTint="33"/>
            <w:vAlign w:val="center"/>
            <w:hideMark/>
          </w:tcPr>
          <w:p w:rsidR="00A1452E" w:rsidRPr="003437E5" w:rsidRDefault="00A1452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ბანკის საგარეო ვალი</w:t>
            </w:r>
            <w:r w:rsidR="005A35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</w:t>
            </w:r>
            <w:r w:rsidR="003437E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3437E5" w:rsidRPr="005A35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ნაშთი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E5F1" w:themeFill="accent1" w:themeFillTint="33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448,360.3</w:t>
            </w:r>
          </w:p>
        </w:tc>
      </w:tr>
      <w:tr w:rsidR="00A1452E" w:rsidRPr="00A1452E" w:rsidTr="0059613B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5DFEC" w:themeFill="accent4" w:themeFillTint="33"/>
            <w:vAlign w:val="center"/>
            <w:hideMark/>
          </w:tcPr>
          <w:p w:rsidR="00A1452E" w:rsidRPr="00A1452E" w:rsidRDefault="000F014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სახელმწიფო</w:t>
            </w:r>
            <w:r w:rsidR="00A1452E"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საშინაო ვალის ნაშთი</w:t>
            </w:r>
            <w:r w:rsidR="007766B8">
              <w:rPr>
                <w:rStyle w:val="FootnoteReference"/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5DFEC" w:themeFill="accent4" w:themeFillTint="33"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3,283,522.1</w:t>
            </w:r>
          </w:p>
        </w:tc>
      </w:tr>
      <w:tr w:rsidR="00A1452E" w:rsidRPr="00A1452E" w:rsidTr="00A1452E">
        <w:trPr>
          <w:trHeight w:val="6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240,846.0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182,000.0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564,000.6</w:t>
            </w:r>
          </w:p>
        </w:tc>
      </w:tr>
      <w:tr w:rsidR="00A1452E" w:rsidRPr="00A1452E" w:rsidTr="00A1452E">
        <w:trPr>
          <w:trHeight w:val="300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color w:val="000000"/>
                <w:sz w:val="18"/>
                <w:szCs w:val="18"/>
              </w:rPr>
              <w:t>2,296,675.5</w:t>
            </w:r>
          </w:p>
        </w:tc>
      </w:tr>
      <w:tr w:rsidR="00A1452E" w:rsidRPr="00A1452E" w:rsidTr="00A1452E">
        <w:trPr>
          <w:trHeight w:val="315"/>
        </w:trPr>
        <w:tc>
          <w:tcPr>
            <w:tcW w:w="8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 w:rsidP="005A355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  <w:r w:rsidR="005A355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სახელმწიფო</w:t>
            </w:r>
            <w:r w:rsidRPr="00A1452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ვალის ნაშთი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452E" w:rsidRPr="00A1452E" w:rsidRDefault="00A1452E">
            <w:pPr>
              <w:jc w:val="right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A1452E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17,787,407.2</w:t>
            </w:r>
          </w:p>
        </w:tc>
      </w:tr>
    </w:tbl>
    <w:p w:rsidR="00F23F32" w:rsidRDefault="00F23F32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:rsidR="00A451D6" w:rsidRDefault="00A451D6" w:rsidP="00A451D6">
      <w:pPr>
        <w:pStyle w:val="Normal4"/>
        <w:ind w:firstLine="720"/>
        <w:jc w:val="both"/>
        <w:rPr>
          <w:rFonts w:ascii="Sylfaen" w:eastAsia="Sylfaen" w:hAnsi="Sylfaen" w:cs="Sylfaen"/>
          <w:b/>
          <w:color w:val="000000"/>
        </w:rPr>
      </w:pPr>
    </w:p>
    <w:p w:rsidR="00A451D6" w:rsidRPr="00A451D6" w:rsidRDefault="00A451D6" w:rsidP="00A451D6">
      <w:pPr>
        <w:pStyle w:val="Heading1"/>
        <w:jc w:val="center"/>
        <w:rPr>
          <w:rFonts w:eastAsia="Times New Roman"/>
          <w:b/>
          <w:noProof/>
          <w:color w:val="auto"/>
          <w:sz w:val="22"/>
          <w:szCs w:val="22"/>
          <w:lang w:val="sv-SE"/>
        </w:rPr>
      </w:pP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lastRenderedPageBreak/>
        <w:t>„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ეკონომიკური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თავისუფლების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შესახებ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“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საქართველოს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ორგანული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კანონით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დადგენილი</w:t>
      </w:r>
      <w:r w:rsidRPr="00A451D6">
        <w:rPr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ზღვრულ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A451D6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პარამეტრებთან</w:t>
      </w:r>
      <w:r w:rsidRPr="00A451D6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</w:p>
    <w:p w:rsidR="00A451D6" w:rsidRDefault="00A451D6" w:rsidP="00A451D6">
      <w:pPr>
        <w:ind w:firstLine="709"/>
        <w:jc w:val="both"/>
        <w:rPr>
          <w:rFonts w:ascii="Sylfaen" w:eastAsia="Sylfaen" w:hAnsi="Sylfaen" w:cs="Sylfaen"/>
          <w:color w:val="000000"/>
          <w:lang w:val="ka-GE" w:eastAsia="en-US"/>
        </w:rPr>
      </w:pPr>
    </w:p>
    <w:p w:rsidR="001D1BC6" w:rsidRPr="001D1BC6" w:rsidRDefault="001D1BC6" w:rsidP="001D1BC6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1D1BC6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</w:t>
      </w:r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შეფარდებ</w:t>
      </w:r>
      <w:proofErr w:type="spellEnd"/>
      <w:r w:rsidRPr="001D1BC6">
        <w:rPr>
          <w:rFonts w:ascii="Sylfaen" w:hAnsi="Sylfaen"/>
          <w:sz w:val="22"/>
          <w:szCs w:val="22"/>
          <w:lang w:val="ka-GE"/>
        </w:rPr>
        <w:t xml:space="preserve">ის ზღვრული მოცულობა შეადგენს არაუმეტეს 3%-ს. 2019 წლის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1D1BC6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1D1BC6">
        <w:rPr>
          <w:rFonts w:ascii="Sylfaen" w:hAnsi="Sylfaen"/>
          <w:sz w:val="22"/>
          <w:szCs w:val="22"/>
          <w:lang w:val="en-US"/>
        </w:rPr>
        <w:t>დეფიციტის</w:t>
      </w:r>
      <w:proofErr w:type="spellEnd"/>
      <w:r w:rsidRPr="001D1BC6">
        <w:rPr>
          <w:rFonts w:ascii="Sylfaen" w:hAnsi="Sylfaen"/>
          <w:sz w:val="22"/>
          <w:szCs w:val="22"/>
          <w:lang w:val="ka-GE"/>
        </w:rPr>
        <w:t xml:space="preserve"> დაგეგმილი მაჩვენებელი განისაზღვრა </w:t>
      </w:r>
      <w:r w:rsidRPr="001D1BC6">
        <w:rPr>
          <w:rFonts w:ascii="Sylfaen" w:hAnsi="Sylfaen"/>
          <w:sz w:val="22"/>
          <w:szCs w:val="22"/>
          <w:lang w:val="en-US"/>
        </w:rPr>
        <w:t>2.4</w:t>
      </w:r>
      <w:r w:rsidRPr="001D1BC6">
        <w:rPr>
          <w:rFonts w:ascii="Sylfaen" w:hAnsi="Sylfaen"/>
          <w:sz w:val="22"/>
          <w:szCs w:val="22"/>
          <w:lang w:val="ka-GE"/>
        </w:rPr>
        <w:t>%-ის ფარგლებში. საანგარიშო პერიოდში აღნიშნული მაჩვენებელი დადებითია, შეადგენს 81.5 მლნ ლარს, რაც მთლიანი შიდა პროდუქტის 0.18 %-ია.</w:t>
      </w:r>
    </w:p>
    <w:p w:rsidR="001D1BC6" w:rsidRPr="001D1BC6" w:rsidRDefault="001D1BC6" w:rsidP="001D1BC6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>„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ეკონომიკური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თავისუფლების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შესახებ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“ </w:t>
      </w:r>
      <w:r w:rsidRPr="001D1BC6">
        <w:rPr>
          <w:rFonts w:ascii="Sylfaen" w:eastAsia="Helvetica" w:hAnsi="Sylfaen" w:cs="Helvetica"/>
          <w:color w:val="000000"/>
          <w:sz w:val="22"/>
          <w:szCs w:val="22"/>
          <w:lang w:val="ka-GE" w:eastAsia="en-US"/>
        </w:rPr>
        <w:t>საქართველოს</w:t>
      </w:r>
      <w:r w:rsidRPr="001D1BC6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Pr="001D1BC6">
        <w:rPr>
          <w:rFonts w:ascii="Sylfaen" w:hAnsi="Sylfaen"/>
          <w:sz w:val="22"/>
          <w:szCs w:val="22"/>
          <w:lang w:val="ka-GE"/>
        </w:rPr>
        <w:t xml:space="preserve">ორგანული კანონით დადგენილი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საქართველოს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1D1BC6">
        <w:rPr>
          <w:rFonts w:ascii="Sylfaen" w:hAnsi="Sylfaen"/>
          <w:sz w:val="22"/>
          <w:szCs w:val="22"/>
          <w:lang w:val="ka-GE"/>
        </w:rPr>
        <w:t xml:space="preserve"> მთლიან შიდა პროდუქტთან შეფარდების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ზღვრული მოცულობა შეადგენს არაუმეტეს 60%-ს. საანგარიშო პერიოდის საქართველოს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მთავრობის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ვალის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ზღვრულმა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მოცულობამ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შეადგინა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მთლიანი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შიდა</w:t>
      </w:r>
      <w:r w:rsidRPr="001D1BC6">
        <w:rPr>
          <w:rFonts w:ascii="Sylfaen" w:hAnsi="Sylfaen"/>
          <w:sz w:val="22"/>
          <w:szCs w:val="22"/>
          <w:lang w:val="ka-GE"/>
        </w:rPr>
        <w:t xml:space="preserve"> </w:t>
      </w:r>
      <w:r w:rsidRPr="001D1BC6">
        <w:rPr>
          <w:rFonts w:ascii="Sylfaen" w:eastAsia="Helvetica" w:hAnsi="Sylfaen" w:cs="Helvetica"/>
          <w:sz w:val="22"/>
          <w:szCs w:val="22"/>
          <w:lang w:val="ka-GE"/>
        </w:rPr>
        <w:t>პროდუქტის</w:t>
      </w:r>
      <w:r w:rsidRPr="001D1BC6">
        <w:rPr>
          <w:rFonts w:ascii="Sylfaen" w:hAnsi="Sylfaen"/>
          <w:sz w:val="22"/>
          <w:szCs w:val="22"/>
          <w:lang w:val="ka-GE"/>
        </w:rPr>
        <w:t xml:space="preserve"> 38</w:t>
      </w:r>
      <w:r w:rsidRPr="001D1BC6">
        <w:rPr>
          <w:rFonts w:ascii="Sylfaen" w:hAnsi="Sylfaen"/>
          <w:sz w:val="22"/>
          <w:szCs w:val="22"/>
        </w:rPr>
        <w:t>.</w:t>
      </w:r>
      <w:r w:rsidRPr="001D1BC6">
        <w:rPr>
          <w:rFonts w:ascii="Sylfaen" w:hAnsi="Sylfaen"/>
          <w:sz w:val="22"/>
          <w:szCs w:val="22"/>
          <w:lang w:val="ka-GE"/>
        </w:rPr>
        <w:t>6%.</w:t>
      </w:r>
      <w:r w:rsidRPr="001D1BC6">
        <w:rPr>
          <w:rStyle w:val="FootnoteReference"/>
          <w:rFonts w:ascii="Sylfaen" w:hAnsi="Sylfaen"/>
          <w:sz w:val="22"/>
          <w:szCs w:val="22"/>
          <w:lang w:val="ka-GE"/>
        </w:rPr>
        <w:footnoteReference w:id="2"/>
      </w:r>
    </w:p>
    <w:p w:rsidR="00A451D6" w:rsidRPr="001D1BC6" w:rsidRDefault="00A451D6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en-US"/>
        </w:rPr>
      </w:pPr>
    </w:p>
    <w:sectPr w:rsidR="00A451D6" w:rsidRPr="001D1BC6" w:rsidSect="004E4860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A3E" w:rsidRDefault="00710A3E">
      <w:r>
        <w:separator/>
      </w:r>
    </w:p>
  </w:endnote>
  <w:endnote w:type="continuationSeparator" w:id="0">
    <w:p w:rsidR="00710A3E" w:rsidRDefault="0071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Bahnschrift Light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32" w:rsidRDefault="00F23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F32" w:rsidRDefault="00F23F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F32" w:rsidRDefault="00F23F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860">
      <w:rPr>
        <w:noProof/>
      </w:rPr>
      <w:t>43</w:t>
    </w:r>
    <w:r>
      <w:rPr>
        <w:noProof/>
      </w:rPr>
      <w:fldChar w:fldCharType="end"/>
    </w:r>
  </w:p>
  <w:p w:rsidR="00F23F32" w:rsidRDefault="00F23F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A3E" w:rsidRDefault="00710A3E">
      <w:r>
        <w:separator/>
      </w:r>
    </w:p>
  </w:footnote>
  <w:footnote w:type="continuationSeparator" w:id="0">
    <w:p w:rsidR="00710A3E" w:rsidRDefault="00710A3E">
      <w:r>
        <w:continuationSeparator/>
      </w:r>
    </w:p>
  </w:footnote>
  <w:footnote w:id="1">
    <w:p w:rsidR="003437E5" w:rsidRPr="003437E5" w:rsidRDefault="007766B8">
      <w:pPr>
        <w:pStyle w:val="FootnoteText"/>
        <w:rPr>
          <w:rFonts w:ascii="Sylfaen" w:hAnsi="Sylfaen"/>
          <w:sz w:val="18"/>
          <w:szCs w:val="18"/>
          <w:lang w:val="ka-GE"/>
        </w:rPr>
      </w:pPr>
      <w:r w:rsidRPr="001D01A5">
        <w:rPr>
          <w:rStyle w:val="FootnoteReference"/>
          <w:rFonts w:ascii="Sylfaen" w:hAnsi="Sylfaen"/>
          <w:sz w:val="16"/>
          <w:szCs w:val="16"/>
        </w:rPr>
        <w:footnoteRef/>
      </w:r>
      <w:r w:rsidRPr="001D01A5">
        <w:rPr>
          <w:rFonts w:ascii="Sylfaen" w:hAnsi="Sylfaen"/>
          <w:sz w:val="16"/>
          <w:szCs w:val="16"/>
        </w:rPr>
        <w:t xml:space="preserve"> </w:t>
      </w:r>
      <w:r w:rsidRPr="001D01A5">
        <w:rPr>
          <w:rFonts w:ascii="Sylfaen" w:hAnsi="Sylfaen"/>
          <w:i/>
          <w:sz w:val="16"/>
          <w:szCs w:val="16"/>
          <w:lang w:val="ka-GE"/>
        </w:rPr>
        <w:t>არ მოიცავს „ე.წ. „ისტორიულ ვალის“ მოცულობას</w:t>
      </w:r>
      <w:r w:rsidR="00D0142C" w:rsidRPr="001D01A5">
        <w:rPr>
          <w:rFonts w:ascii="Sylfaen" w:hAnsi="Sylfaen"/>
          <w:i/>
          <w:sz w:val="16"/>
          <w:szCs w:val="16"/>
          <w:lang w:val="ka-GE"/>
        </w:rPr>
        <w:t>,</w:t>
      </w:r>
      <w:r w:rsidRPr="001D01A5">
        <w:rPr>
          <w:rFonts w:ascii="Sylfaen" w:hAnsi="Sylfaen"/>
          <w:i/>
          <w:sz w:val="16"/>
          <w:szCs w:val="16"/>
          <w:lang w:val="ka-GE"/>
        </w:rPr>
        <w:t xml:space="preserve"> ვინაიდან აღნიშნულ მაჩვენებელზე არ</w:t>
      </w:r>
      <w:r w:rsidR="00D0142C" w:rsidRPr="001D01A5">
        <w:rPr>
          <w:rFonts w:ascii="Sylfaen" w:hAnsi="Sylfaen"/>
          <w:i/>
          <w:sz w:val="16"/>
          <w:szCs w:val="16"/>
          <w:lang w:val="ka-GE"/>
        </w:rPr>
        <w:t xml:space="preserve"> არსებობს სრულყოფილი ინფორმაცია</w:t>
      </w:r>
      <w:r w:rsidRPr="001D01A5">
        <w:rPr>
          <w:rFonts w:ascii="Sylfaen" w:hAnsi="Sylfaen"/>
          <w:i/>
          <w:sz w:val="16"/>
          <w:szCs w:val="16"/>
          <w:lang w:val="en-US"/>
        </w:rPr>
        <w:t>;</w:t>
      </w:r>
      <w:r w:rsidR="003437E5">
        <w:rPr>
          <w:rFonts w:ascii="Sylfaen" w:hAnsi="Sylfaen"/>
          <w:i/>
          <w:sz w:val="18"/>
          <w:szCs w:val="18"/>
          <w:lang w:val="ka-GE"/>
        </w:rPr>
        <w:t xml:space="preserve"> </w:t>
      </w:r>
    </w:p>
  </w:footnote>
  <w:footnote w:id="2">
    <w:p w:rsidR="001D1BC6" w:rsidRPr="005936EA" w:rsidRDefault="001D1BC6" w:rsidP="001D1BC6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09EC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58B8"/>
    <w:rsid w:val="00035C50"/>
    <w:rsid w:val="00037AC4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CE8"/>
    <w:rsid w:val="00065EBB"/>
    <w:rsid w:val="000665F5"/>
    <w:rsid w:val="00066EE4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1DD2"/>
    <w:rsid w:val="000E240B"/>
    <w:rsid w:val="000E3575"/>
    <w:rsid w:val="000E727D"/>
    <w:rsid w:val="000E7B93"/>
    <w:rsid w:val="000E7F86"/>
    <w:rsid w:val="000F0144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5A7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0678"/>
    <w:rsid w:val="00151124"/>
    <w:rsid w:val="001559BC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3AD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01A5"/>
    <w:rsid w:val="001D1BC6"/>
    <w:rsid w:val="001D4ABE"/>
    <w:rsid w:val="001D4EF0"/>
    <w:rsid w:val="001D5265"/>
    <w:rsid w:val="001D5FF3"/>
    <w:rsid w:val="001D7669"/>
    <w:rsid w:val="001D78C3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5280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04A0"/>
    <w:rsid w:val="002223BC"/>
    <w:rsid w:val="00223FCD"/>
    <w:rsid w:val="00224F44"/>
    <w:rsid w:val="0022565A"/>
    <w:rsid w:val="0022692F"/>
    <w:rsid w:val="00227A5E"/>
    <w:rsid w:val="002301CB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3406"/>
    <w:rsid w:val="00243953"/>
    <w:rsid w:val="002447B2"/>
    <w:rsid w:val="00244982"/>
    <w:rsid w:val="002449E8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0A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4BAD"/>
    <w:rsid w:val="00305412"/>
    <w:rsid w:val="003102FA"/>
    <w:rsid w:val="00315410"/>
    <w:rsid w:val="0031683E"/>
    <w:rsid w:val="0031691B"/>
    <w:rsid w:val="00316C4B"/>
    <w:rsid w:val="003170E0"/>
    <w:rsid w:val="00323EC7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6E59"/>
    <w:rsid w:val="003526CB"/>
    <w:rsid w:val="00352B3D"/>
    <w:rsid w:val="0035478C"/>
    <w:rsid w:val="00354AD3"/>
    <w:rsid w:val="00354AED"/>
    <w:rsid w:val="00357239"/>
    <w:rsid w:val="003575F1"/>
    <w:rsid w:val="00357937"/>
    <w:rsid w:val="00360E2C"/>
    <w:rsid w:val="00360FDA"/>
    <w:rsid w:val="00362B49"/>
    <w:rsid w:val="00363543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401DC1"/>
    <w:rsid w:val="00401E8D"/>
    <w:rsid w:val="00403596"/>
    <w:rsid w:val="00412392"/>
    <w:rsid w:val="0041242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0AB"/>
    <w:rsid w:val="00457C2E"/>
    <w:rsid w:val="004615BB"/>
    <w:rsid w:val="004616F6"/>
    <w:rsid w:val="004647A9"/>
    <w:rsid w:val="00465002"/>
    <w:rsid w:val="00465D53"/>
    <w:rsid w:val="0046798A"/>
    <w:rsid w:val="00471498"/>
    <w:rsid w:val="00471A42"/>
    <w:rsid w:val="004743A7"/>
    <w:rsid w:val="00475333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B76C2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5B19"/>
    <w:rsid w:val="004D6F94"/>
    <w:rsid w:val="004E1F75"/>
    <w:rsid w:val="004E43F0"/>
    <w:rsid w:val="004E4709"/>
    <w:rsid w:val="004E4860"/>
    <w:rsid w:val="004E613A"/>
    <w:rsid w:val="004E70AA"/>
    <w:rsid w:val="004E74C2"/>
    <w:rsid w:val="004E78F7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D9B"/>
    <w:rsid w:val="00587595"/>
    <w:rsid w:val="00591068"/>
    <w:rsid w:val="005914F3"/>
    <w:rsid w:val="00591989"/>
    <w:rsid w:val="005936EA"/>
    <w:rsid w:val="00593E1D"/>
    <w:rsid w:val="00594995"/>
    <w:rsid w:val="0059613B"/>
    <w:rsid w:val="005A1891"/>
    <w:rsid w:val="005A25D8"/>
    <w:rsid w:val="005A3550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1C4E"/>
    <w:rsid w:val="006B3F93"/>
    <w:rsid w:val="006C0ADF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55C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0A3E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6B8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D6BB9"/>
    <w:rsid w:val="007E0DAC"/>
    <w:rsid w:val="007E0EAF"/>
    <w:rsid w:val="007E7174"/>
    <w:rsid w:val="007F0AE2"/>
    <w:rsid w:val="007F16EA"/>
    <w:rsid w:val="007F2B61"/>
    <w:rsid w:val="007F3FD5"/>
    <w:rsid w:val="007F51D3"/>
    <w:rsid w:val="007F5758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AEB"/>
    <w:rsid w:val="00822BBC"/>
    <w:rsid w:val="00824A64"/>
    <w:rsid w:val="0082562F"/>
    <w:rsid w:val="00825A89"/>
    <w:rsid w:val="00826EF7"/>
    <w:rsid w:val="00827DD7"/>
    <w:rsid w:val="00832609"/>
    <w:rsid w:val="00832A2E"/>
    <w:rsid w:val="00834591"/>
    <w:rsid w:val="00834FA0"/>
    <w:rsid w:val="00835290"/>
    <w:rsid w:val="00835900"/>
    <w:rsid w:val="00835BBE"/>
    <w:rsid w:val="00836DCA"/>
    <w:rsid w:val="008370D6"/>
    <w:rsid w:val="00837208"/>
    <w:rsid w:val="008402C3"/>
    <w:rsid w:val="00840874"/>
    <w:rsid w:val="008435E2"/>
    <w:rsid w:val="008440ED"/>
    <w:rsid w:val="0084424B"/>
    <w:rsid w:val="008452C8"/>
    <w:rsid w:val="0084606E"/>
    <w:rsid w:val="008465F0"/>
    <w:rsid w:val="00846869"/>
    <w:rsid w:val="00846B50"/>
    <w:rsid w:val="008529E2"/>
    <w:rsid w:val="00852E48"/>
    <w:rsid w:val="008543DC"/>
    <w:rsid w:val="00854B0F"/>
    <w:rsid w:val="008550C2"/>
    <w:rsid w:val="0085596E"/>
    <w:rsid w:val="00860698"/>
    <w:rsid w:val="0086226A"/>
    <w:rsid w:val="008650C7"/>
    <w:rsid w:val="00865F24"/>
    <w:rsid w:val="00866CE7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2C30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6DCA"/>
    <w:rsid w:val="00991CA6"/>
    <w:rsid w:val="00992F1B"/>
    <w:rsid w:val="0099386B"/>
    <w:rsid w:val="009960EA"/>
    <w:rsid w:val="00996F3A"/>
    <w:rsid w:val="009A02BC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66"/>
    <w:rsid w:val="009E7FF8"/>
    <w:rsid w:val="009F001A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52E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51D6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76D3"/>
    <w:rsid w:val="00AE0893"/>
    <w:rsid w:val="00AE098A"/>
    <w:rsid w:val="00AE0FEE"/>
    <w:rsid w:val="00AE1316"/>
    <w:rsid w:val="00AE1A09"/>
    <w:rsid w:val="00AE355E"/>
    <w:rsid w:val="00AE3A5F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57592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2E5B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364"/>
    <w:rsid w:val="00BB74BC"/>
    <w:rsid w:val="00BC4B7E"/>
    <w:rsid w:val="00BC4C63"/>
    <w:rsid w:val="00BC59B0"/>
    <w:rsid w:val="00BC5BB0"/>
    <w:rsid w:val="00BC68B0"/>
    <w:rsid w:val="00BC7ECA"/>
    <w:rsid w:val="00BD0237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57C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3D64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015C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4B2C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FE1"/>
    <w:rsid w:val="00C74742"/>
    <w:rsid w:val="00C74F0C"/>
    <w:rsid w:val="00C751C1"/>
    <w:rsid w:val="00C75EF4"/>
    <w:rsid w:val="00C769CF"/>
    <w:rsid w:val="00C76E55"/>
    <w:rsid w:val="00C7711D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142C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2C9"/>
    <w:rsid w:val="00D3577E"/>
    <w:rsid w:val="00D417AD"/>
    <w:rsid w:val="00D41903"/>
    <w:rsid w:val="00D42E58"/>
    <w:rsid w:val="00D447E2"/>
    <w:rsid w:val="00D479E2"/>
    <w:rsid w:val="00D523DA"/>
    <w:rsid w:val="00D56A45"/>
    <w:rsid w:val="00D576EA"/>
    <w:rsid w:val="00D5778D"/>
    <w:rsid w:val="00D6305F"/>
    <w:rsid w:val="00D645A3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DF4289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4DE4"/>
    <w:rsid w:val="00EA5BAD"/>
    <w:rsid w:val="00EA7BFF"/>
    <w:rsid w:val="00EB18CE"/>
    <w:rsid w:val="00EB224B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808"/>
    <w:rsid w:val="00EF5C01"/>
    <w:rsid w:val="00EF658E"/>
    <w:rsid w:val="00F005D3"/>
    <w:rsid w:val="00F00730"/>
    <w:rsid w:val="00F00B14"/>
    <w:rsid w:val="00F03E49"/>
    <w:rsid w:val="00F045F0"/>
    <w:rsid w:val="00F0535A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3F32"/>
    <w:rsid w:val="00F24921"/>
    <w:rsid w:val="00F2666B"/>
    <w:rsid w:val="00F26CA2"/>
    <w:rsid w:val="00F27239"/>
    <w:rsid w:val="00F279C3"/>
    <w:rsid w:val="00F30E25"/>
    <w:rsid w:val="00F31F0C"/>
    <w:rsid w:val="00F3241D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6EE"/>
    <w:rsid w:val="00F66D11"/>
    <w:rsid w:val="00F70948"/>
    <w:rsid w:val="00F72B5C"/>
    <w:rsid w:val="00F72FEF"/>
    <w:rsid w:val="00F75317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5CB6"/>
    <w:rsid w:val="00F86437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45CA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semiHidden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C2FF-8351-492D-8C26-57EDF432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23</cp:revision>
  <cp:lastPrinted>2019-04-30T08:37:00Z</cp:lastPrinted>
  <dcterms:created xsi:type="dcterms:W3CDTF">2019-03-28T17:39:00Z</dcterms:created>
  <dcterms:modified xsi:type="dcterms:W3CDTF">2019-04-30T10:51:00Z</dcterms:modified>
</cp:coreProperties>
</file>